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ED" w:rsidRPr="004E410E" w:rsidRDefault="004410ED" w:rsidP="004410E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45439">
        <w:rPr>
          <w:rFonts w:ascii="Times New Roman" w:hAnsi="Times New Roman" w:cs="Times New Roman"/>
          <w:b/>
          <w:sz w:val="24"/>
          <w:szCs w:val="24"/>
        </w:rPr>
        <w:t>Table 1: Typical</w:t>
      </w:r>
      <w:r w:rsidRPr="004E410E">
        <w:rPr>
          <w:rFonts w:ascii="Times New Roman" w:hAnsi="Times New Roman" w:cs="Times New Roman"/>
          <w:b/>
          <w:sz w:val="24"/>
          <w:szCs w:val="24"/>
        </w:rPr>
        <w:t xml:space="preserve"> writing retreat programme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2542"/>
        <w:gridCol w:w="2880"/>
        <w:gridCol w:w="2294"/>
      </w:tblGrid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b/>
                <w:sz w:val="24"/>
                <w:szCs w:val="24"/>
              </w:rPr>
              <w:t>Activity / requirement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b/>
                <w:sz w:val="24"/>
                <w:szCs w:val="24"/>
              </w:rPr>
              <w:t>Note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 xml:space="preserve">Pre-retreat Requirement 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Completion of 7-day Research Writing course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 xml:space="preserve">To set up ways of working with peers; to experiment with numerous strategies for research writing, including creative activities. 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Such a requirement means more time can be given to actual writing on retreat.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Pre-retreat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Application with Motivation.</w:t>
            </w:r>
          </w:p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Commitment to programme &amp; time frames.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To establish focus for participants, elicit preparation; to ensure commitment.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This assists in pushing writers into action.</w:t>
            </w:r>
          </w:p>
        </w:tc>
      </w:tr>
      <w:tr w:rsidR="00645439" w:rsidRPr="004E410E" w:rsidTr="00DB1E1F">
        <w:tc>
          <w:tcPr>
            <w:tcW w:w="9242" w:type="dxa"/>
            <w:gridSpan w:val="4"/>
          </w:tcPr>
          <w:p w:rsidR="00645439" w:rsidRPr="004E410E" w:rsidRDefault="00645439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Daily programme 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7h30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Breakfast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8h30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 xml:space="preserve">Group activities and input: free-writing; drawing; goal setting; </w:t>
            </w:r>
          </w:p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‘Writing an abstract’; ‘Constructing an argument’; etc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Creative / fun activities to overcome writer’s block, fear of writing and sharing, to shake-up habitual approaches.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Participants often offer an activity: drawing, movement…</w:t>
            </w:r>
          </w:p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10h30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Tea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Establish good practices of balancing ‘recovery’ and ‘productivity’.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‘Restoring’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11h00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Individual writing time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Developing sustained focus. Having time to write.</w:t>
            </w:r>
          </w:p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Developing mindful inquiry.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‘Writing is learned by writing’ Badenhorst, 2007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1pm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Lunch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Community sharing.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Restoring; collegiality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2pm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Individual writing time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Participants decide what they need to do: walk, rest, discuss, and write.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Facilitators available for consultation.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4pm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Reading the day’s writing in groups; providing peer feedback.</w:t>
            </w:r>
          </w:p>
        </w:tc>
        <w:tc>
          <w:tcPr>
            <w:tcW w:w="2880" w:type="dxa"/>
          </w:tcPr>
          <w:p w:rsidR="004410ED" w:rsidRPr="004E410E" w:rsidRDefault="004410ED" w:rsidP="00645439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Encouraging accountability, providing input, establishing voice of the writer, democratising the feedback process, learning from each other, sharing. Empathy; mindful listening.</w:t>
            </w: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Facilitators also often read their own work; become participants in the Community of Practice.</w:t>
            </w: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5pm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Close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ED" w:rsidRPr="004E410E" w:rsidTr="00645439">
        <w:tc>
          <w:tcPr>
            <w:tcW w:w="1526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 xml:space="preserve">Evening </w:t>
            </w:r>
          </w:p>
        </w:tc>
        <w:tc>
          <w:tcPr>
            <w:tcW w:w="2542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410E">
              <w:rPr>
                <w:rFonts w:ascii="Times New Roman" w:hAnsi="Times New Roman" w:cs="Times New Roman"/>
                <w:sz w:val="24"/>
                <w:szCs w:val="24"/>
              </w:rPr>
              <w:t>Reading / writing time / rest.</w:t>
            </w:r>
          </w:p>
        </w:tc>
        <w:tc>
          <w:tcPr>
            <w:tcW w:w="2880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4" w:type="dxa"/>
          </w:tcPr>
          <w:p w:rsidR="004410ED" w:rsidRPr="004E410E" w:rsidRDefault="004410ED" w:rsidP="0044674B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10ED" w:rsidRPr="004E410E" w:rsidRDefault="004410ED" w:rsidP="004410ED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410ED" w:rsidRPr="004E41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0ED"/>
    <w:rsid w:val="0031755A"/>
    <w:rsid w:val="004410ED"/>
    <w:rsid w:val="004E20CB"/>
    <w:rsid w:val="00645439"/>
    <w:rsid w:val="009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1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0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0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1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441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0E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Vivienne Bozalek</cp:lastModifiedBy>
  <cp:revision>2</cp:revision>
  <dcterms:created xsi:type="dcterms:W3CDTF">2016-11-30T07:32:00Z</dcterms:created>
  <dcterms:modified xsi:type="dcterms:W3CDTF">2016-11-30T07:32:00Z</dcterms:modified>
</cp:coreProperties>
</file>