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0A" w:rsidRDefault="00401A0A">
      <w:pPr>
        <w:rPr>
          <w:rFonts w:ascii="Times New Roman" w:hAnsi="Times New Roman" w:cs="Times New Roman"/>
        </w:rPr>
      </w:pPr>
    </w:p>
    <w:p w:rsidR="00401A0A" w:rsidRDefault="00401A0A">
      <w:pPr>
        <w:jc w:val="center"/>
        <w:rPr>
          <w:rFonts w:ascii="Times New Roman" w:hAnsi="Times New Roman" w:cs="Times New Roman"/>
        </w:rPr>
      </w:pPr>
      <w:r w:rsidRPr="00401A0A">
        <w:rPr>
          <w:rFonts w:hint="eastAsia"/>
        </w:rPr>
        <w:object w:dxaOrig="3518" w:dyaOrig="2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113.25pt" o:ole="">
            <v:imagedata r:id="rId5" o:title=""/>
          </v:shape>
          <o:OLEObject Type="Embed" ProgID="ACD.ChemSketch.20" ShapeID="_x0000_i1025" DrawAspect="Content" ObjectID="_1592046135" r:id="rId6"/>
        </w:object>
      </w:r>
    </w:p>
    <w:p w:rsidR="00401A0A" w:rsidRDefault="00401A0A">
      <w:pPr>
        <w:ind w:firstLineChars="500" w:firstLine="1050"/>
        <w:rPr>
          <w:rFonts w:ascii="Times New Roman" w:hAnsi="Times New Roman" w:cs="Times New Roman"/>
        </w:rPr>
      </w:pPr>
    </w:p>
    <w:p w:rsidR="00401A0A" w:rsidRDefault="00401A0A">
      <w:pPr>
        <w:ind w:firstLineChars="500" w:firstLine="1050"/>
        <w:rPr>
          <w:rFonts w:ascii="Times New Roman" w:hAnsi="Times New Roman" w:cs="Times New Roman"/>
        </w:rPr>
      </w:pPr>
    </w:p>
    <w:p w:rsidR="00401A0A" w:rsidRDefault="00401A0A">
      <w:pPr>
        <w:ind w:firstLineChars="500" w:firstLine="1050"/>
        <w:rPr>
          <w:rFonts w:ascii="Times New Roman" w:hAnsi="Times New Roman" w:cs="Times New Roman"/>
        </w:rPr>
      </w:pPr>
    </w:p>
    <w:p w:rsidR="00401A0A" w:rsidRDefault="00401A0A">
      <w:pPr>
        <w:ind w:firstLineChars="500" w:firstLine="1050"/>
        <w:rPr>
          <w:rFonts w:ascii="Times New Roman" w:hAnsi="Times New Roman" w:cs="Times New Roman"/>
        </w:rPr>
      </w:pPr>
    </w:p>
    <w:p w:rsidR="00401A0A" w:rsidRDefault="00401A0A">
      <w:pPr>
        <w:ind w:firstLineChars="500" w:firstLine="1050"/>
        <w:rPr>
          <w:rFonts w:ascii="Times New Roman" w:hAnsi="Times New Roman" w:cs="Times New Roman"/>
        </w:rPr>
      </w:pPr>
      <w:bookmarkStart w:id="0" w:name="_GoBack"/>
      <w:bookmarkEnd w:id="0"/>
    </w:p>
    <w:p w:rsidR="00401A0A" w:rsidRDefault="00401A0A">
      <w:pPr>
        <w:ind w:firstLineChars="500" w:firstLine="1050"/>
        <w:rPr>
          <w:rFonts w:ascii="Times New Roman" w:hAnsi="Times New Roman" w:cs="Times New Roman"/>
        </w:rPr>
      </w:pPr>
    </w:p>
    <w:p w:rsidR="00401A0A" w:rsidRDefault="00401A0A">
      <w:pPr>
        <w:ind w:firstLineChars="500" w:firstLine="1050"/>
        <w:rPr>
          <w:rFonts w:ascii="Times New Roman" w:hAnsi="Times New Roman" w:cs="Times New Roman"/>
        </w:rPr>
      </w:pPr>
    </w:p>
    <w:p w:rsidR="00401A0A" w:rsidRDefault="00401A0A">
      <w:pPr>
        <w:ind w:firstLineChars="500" w:firstLine="1050"/>
        <w:rPr>
          <w:rFonts w:ascii="Times New Roman" w:hAnsi="Times New Roman" w:cs="Times New Roman"/>
        </w:rPr>
      </w:pPr>
    </w:p>
    <w:p w:rsidR="00401A0A" w:rsidRDefault="00401A0A">
      <w:pPr>
        <w:ind w:firstLineChars="500" w:firstLine="1050"/>
        <w:rPr>
          <w:rFonts w:ascii="Times New Roman" w:hAnsi="Times New Roman" w:cs="Times New Roman"/>
        </w:rPr>
      </w:pPr>
    </w:p>
    <w:p w:rsidR="00401A0A" w:rsidRDefault="00401A0A">
      <w:pPr>
        <w:ind w:firstLineChars="500" w:firstLine="1050"/>
        <w:rPr>
          <w:rFonts w:ascii="Times New Roman" w:hAnsi="Times New Roman" w:cs="Times New Roman"/>
        </w:rPr>
      </w:pPr>
    </w:p>
    <w:p w:rsidR="00401A0A" w:rsidRDefault="00401A0A">
      <w:pPr>
        <w:ind w:firstLineChars="500" w:firstLine="1050"/>
        <w:rPr>
          <w:rFonts w:ascii="Times New Roman" w:hAnsi="Times New Roman" w:cs="Times New Roman"/>
        </w:rPr>
      </w:pPr>
    </w:p>
    <w:p w:rsidR="00401A0A" w:rsidRDefault="00401A0A">
      <w:pPr>
        <w:ind w:firstLineChars="500" w:firstLine="1050"/>
        <w:rPr>
          <w:rFonts w:ascii="Times New Roman" w:hAnsi="Times New Roman" w:cs="Times New Roman"/>
        </w:rPr>
      </w:pPr>
    </w:p>
    <w:p w:rsidR="00401A0A" w:rsidRDefault="00401A0A">
      <w:pPr>
        <w:ind w:firstLineChars="500" w:firstLine="1050"/>
        <w:rPr>
          <w:rFonts w:ascii="Times New Roman" w:hAnsi="Times New Roman" w:cs="Times New Roman"/>
        </w:rPr>
      </w:pPr>
    </w:p>
    <w:p w:rsidR="00401A0A" w:rsidRDefault="00401A0A">
      <w:pPr>
        <w:ind w:firstLineChars="500" w:firstLine="1050"/>
        <w:rPr>
          <w:rFonts w:ascii="Times New Roman" w:hAnsi="Times New Roman" w:cs="Times New Roman"/>
        </w:rPr>
      </w:pPr>
    </w:p>
    <w:p w:rsidR="00401A0A" w:rsidRDefault="00401A0A">
      <w:pPr>
        <w:ind w:firstLineChars="500" w:firstLine="1050"/>
        <w:rPr>
          <w:rFonts w:ascii="Times New Roman" w:hAnsi="Times New Roman" w:cs="Times New Roman"/>
        </w:rPr>
      </w:pPr>
    </w:p>
    <w:p w:rsidR="00401A0A" w:rsidRDefault="00401A0A">
      <w:pPr>
        <w:ind w:firstLineChars="500" w:firstLine="1050"/>
        <w:rPr>
          <w:rFonts w:ascii="Times New Roman" w:hAnsi="Times New Roman" w:cs="Times New Roman"/>
        </w:rPr>
      </w:pPr>
    </w:p>
    <w:p w:rsidR="00401A0A" w:rsidRDefault="00401A0A">
      <w:pPr>
        <w:ind w:firstLineChars="500" w:firstLine="1050"/>
        <w:rPr>
          <w:rFonts w:ascii="Times New Roman" w:hAnsi="Times New Roman" w:cs="Times New Roman"/>
        </w:rPr>
      </w:pPr>
    </w:p>
    <w:p w:rsidR="00401A0A" w:rsidRDefault="00401A0A">
      <w:pPr>
        <w:ind w:firstLineChars="500" w:firstLine="1050"/>
        <w:rPr>
          <w:rFonts w:ascii="Times New Roman" w:hAnsi="Times New Roman" w:cs="Times New Roman"/>
        </w:rPr>
      </w:pPr>
    </w:p>
    <w:p w:rsidR="00401A0A" w:rsidRDefault="00401A0A">
      <w:pPr>
        <w:ind w:firstLineChars="500" w:firstLine="1050"/>
        <w:rPr>
          <w:rFonts w:ascii="Times New Roman" w:hAnsi="Times New Roman" w:cs="Times New Roman"/>
        </w:rPr>
      </w:pPr>
    </w:p>
    <w:p w:rsidR="00401A0A" w:rsidRDefault="00401A0A">
      <w:pPr>
        <w:ind w:firstLineChars="500" w:firstLine="1050"/>
        <w:rPr>
          <w:rFonts w:ascii="Times New Roman" w:hAnsi="Times New Roman" w:cs="Times New Roman"/>
        </w:rPr>
      </w:pPr>
    </w:p>
    <w:p w:rsidR="00401A0A" w:rsidRDefault="00401A0A">
      <w:pPr>
        <w:ind w:firstLineChars="500" w:firstLine="1050"/>
        <w:rPr>
          <w:rFonts w:ascii="Times New Roman" w:hAnsi="Times New Roman" w:cs="Times New Roman"/>
        </w:rPr>
      </w:pPr>
    </w:p>
    <w:p w:rsidR="00401A0A" w:rsidRDefault="00401A0A">
      <w:pPr>
        <w:ind w:firstLineChars="500" w:firstLine="1050"/>
        <w:rPr>
          <w:rFonts w:ascii="Times New Roman" w:hAnsi="Times New Roman" w:cs="Times New Roman"/>
        </w:rPr>
      </w:pPr>
    </w:p>
    <w:p w:rsidR="00401A0A" w:rsidRDefault="00401A0A">
      <w:pPr>
        <w:ind w:firstLineChars="500" w:firstLine="1050"/>
        <w:rPr>
          <w:rFonts w:ascii="Times New Roman" w:hAnsi="Times New Roman" w:cs="Times New Roman"/>
        </w:rPr>
      </w:pPr>
    </w:p>
    <w:p w:rsidR="00401A0A" w:rsidRDefault="00401A0A">
      <w:pPr>
        <w:ind w:firstLineChars="500" w:firstLine="1050"/>
        <w:rPr>
          <w:rFonts w:ascii="Times New Roman" w:hAnsi="Times New Roman" w:cs="Times New Roman"/>
        </w:rPr>
      </w:pPr>
    </w:p>
    <w:p w:rsidR="00401A0A" w:rsidRDefault="00401A0A">
      <w:pPr>
        <w:ind w:firstLineChars="500" w:firstLine="1050"/>
        <w:rPr>
          <w:rFonts w:ascii="Times New Roman" w:hAnsi="Times New Roman" w:cs="Times New Roman"/>
        </w:rPr>
      </w:pPr>
    </w:p>
    <w:p w:rsidR="00401A0A" w:rsidRDefault="00401A0A">
      <w:pPr>
        <w:ind w:firstLineChars="500" w:firstLine="1050"/>
        <w:rPr>
          <w:rFonts w:ascii="Times New Roman" w:hAnsi="Times New Roman" w:cs="Times New Roman"/>
        </w:rPr>
      </w:pPr>
    </w:p>
    <w:p w:rsidR="00401A0A" w:rsidRDefault="00401A0A">
      <w:pPr>
        <w:ind w:firstLineChars="500" w:firstLine="1050"/>
        <w:rPr>
          <w:rFonts w:ascii="Times New Roman" w:hAnsi="Times New Roman" w:cs="Times New Roman"/>
        </w:rPr>
      </w:pPr>
    </w:p>
    <w:p w:rsidR="00401A0A" w:rsidRDefault="00401A0A">
      <w:pPr>
        <w:ind w:firstLineChars="500" w:firstLine="1050"/>
        <w:rPr>
          <w:rFonts w:ascii="Times New Roman" w:hAnsi="Times New Roman" w:cs="Times New Roman"/>
        </w:rPr>
      </w:pPr>
    </w:p>
    <w:p w:rsidR="00401A0A" w:rsidRDefault="00401A0A">
      <w:pPr>
        <w:ind w:firstLineChars="500" w:firstLine="1050"/>
        <w:rPr>
          <w:rFonts w:ascii="Times New Roman" w:hAnsi="Times New Roman" w:cs="Times New Roman"/>
          <w:szCs w:val="21"/>
        </w:rPr>
      </w:pPr>
    </w:p>
    <w:p w:rsidR="00401A0A" w:rsidRDefault="00401A0A">
      <w:pPr>
        <w:ind w:firstLineChars="500" w:firstLine="1050"/>
        <w:rPr>
          <w:rFonts w:ascii="Times New Roman" w:hAnsi="Times New Roman" w:cs="Times New Roman"/>
          <w:szCs w:val="21"/>
        </w:rPr>
      </w:pPr>
    </w:p>
    <w:p w:rsidR="00401A0A" w:rsidRDefault="00401A0A">
      <w:pPr>
        <w:ind w:firstLineChars="500" w:firstLine="1050"/>
        <w:rPr>
          <w:rFonts w:ascii="Times New Roman" w:hAnsi="Times New Roman" w:cs="Times New Roman"/>
          <w:szCs w:val="21"/>
        </w:rPr>
      </w:pPr>
    </w:p>
    <w:p w:rsidR="00401A0A" w:rsidRDefault="00401A0A">
      <w:pPr>
        <w:ind w:firstLineChars="500" w:firstLine="1050"/>
        <w:rPr>
          <w:rFonts w:ascii="Times New Roman" w:hAnsi="Times New Roman" w:cs="Times New Roman"/>
          <w:szCs w:val="21"/>
        </w:rPr>
      </w:pPr>
    </w:p>
    <w:p w:rsidR="00401A0A" w:rsidRDefault="00401A0A">
      <w:pPr>
        <w:ind w:firstLineChars="500" w:firstLine="1050"/>
        <w:rPr>
          <w:rFonts w:ascii="Times New Roman" w:hAnsi="Times New Roman" w:cs="Times New Roman"/>
          <w:szCs w:val="21"/>
        </w:rPr>
      </w:pPr>
    </w:p>
    <w:p w:rsidR="00401A0A" w:rsidRDefault="00401A0A">
      <w:pPr>
        <w:ind w:firstLineChars="500" w:firstLine="1050"/>
        <w:rPr>
          <w:rFonts w:ascii="Times New Roman" w:hAnsi="Times New Roman" w:cs="Times New Roman"/>
          <w:szCs w:val="21"/>
        </w:rPr>
      </w:pPr>
    </w:p>
    <w:p w:rsidR="00401A0A" w:rsidRDefault="00D71D86">
      <w:pPr>
        <w:ind w:firstLineChars="500" w:firstLine="1050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FIGURE 1</w:t>
      </w:r>
    </w:p>
    <w:p w:rsidR="00401A0A" w:rsidRDefault="00D71D86">
      <w:pPr>
        <w:tabs>
          <w:tab w:val="left" w:pos="1210"/>
        </w:tabs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142875</wp:posOffset>
            </wp:positionV>
            <wp:extent cx="2573020" cy="2514600"/>
            <wp:effectExtent l="19050" t="0" r="17780" b="0"/>
            <wp:wrapSquare wrapText="bothSides"/>
            <wp:docPr id="1026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401A0A" w:rsidRDefault="00D71D86">
      <w:pPr>
        <w:tabs>
          <w:tab w:val="left" w:pos="1210"/>
        </w:tabs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114300" distR="114300">
            <wp:extent cx="2695575" cy="2526665"/>
            <wp:effectExtent l="0" t="0" r="0" b="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01A0A" w:rsidRDefault="00D71D86">
      <w:pPr>
        <w:tabs>
          <w:tab w:val="left" w:pos="1210"/>
        </w:tabs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114300" distR="114300">
            <wp:extent cx="2581910" cy="2656840"/>
            <wp:effectExtent l="0" t="0" r="0" b="0"/>
            <wp:docPr id="3074" name="Chart 10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2621915" cy="2696210"/>
            <wp:effectExtent l="0" t="0" r="0" b="0"/>
            <wp:docPr id="3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01A0A" w:rsidRDefault="00401A0A">
      <w:pPr>
        <w:tabs>
          <w:tab w:val="left" w:pos="1210"/>
        </w:tabs>
        <w:rPr>
          <w:rFonts w:ascii="Times New Roman" w:hAnsi="Times New Roman" w:cs="Times New Roman"/>
        </w:rPr>
      </w:pPr>
    </w:p>
    <w:p w:rsidR="00401A0A" w:rsidRDefault="00401A0A">
      <w:pPr>
        <w:tabs>
          <w:tab w:val="left" w:pos="1210"/>
        </w:tabs>
        <w:rPr>
          <w:rFonts w:ascii="Times New Roman" w:hAnsi="Times New Roman" w:cs="Times New Roman"/>
        </w:rPr>
      </w:pPr>
    </w:p>
    <w:p w:rsidR="00401A0A" w:rsidRDefault="00401A0A">
      <w:pPr>
        <w:tabs>
          <w:tab w:val="left" w:pos="1210"/>
        </w:tabs>
        <w:rPr>
          <w:rFonts w:ascii="Times New Roman" w:hAnsi="Times New Roman" w:cs="Times New Roman"/>
        </w:rPr>
      </w:pPr>
    </w:p>
    <w:p w:rsidR="00401A0A" w:rsidRDefault="00401A0A">
      <w:pPr>
        <w:tabs>
          <w:tab w:val="left" w:pos="1210"/>
        </w:tabs>
        <w:rPr>
          <w:rFonts w:ascii="Times New Roman" w:hAnsi="Times New Roman" w:cs="Times New Roman"/>
          <w:szCs w:val="21"/>
        </w:rPr>
      </w:pPr>
    </w:p>
    <w:p w:rsidR="00401A0A" w:rsidRDefault="00401A0A">
      <w:pPr>
        <w:tabs>
          <w:tab w:val="left" w:pos="1210"/>
        </w:tabs>
        <w:rPr>
          <w:rFonts w:ascii="Times New Roman" w:hAnsi="Times New Roman" w:cs="Times New Roman"/>
          <w:szCs w:val="21"/>
        </w:rPr>
      </w:pPr>
    </w:p>
    <w:p w:rsidR="00401A0A" w:rsidRDefault="00401A0A">
      <w:pPr>
        <w:tabs>
          <w:tab w:val="left" w:pos="1210"/>
        </w:tabs>
        <w:rPr>
          <w:rFonts w:ascii="Times New Roman" w:hAnsi="Times New Roman" w:cs="Times New Roman"/>
          <w:szCs w:val="21"/>
        </w:rPr>
      </w:pPr>
    </w:p>
    <w:p w:rsidR="00401A0A" w:rsidRDefault="00401A0A">
      <w:pPr>
        <w:tabs>
          <w:tab w:val="left" w:pos="1210"/>
        </w:tabs>
        <w:rPr>
          <w:rFonts w:ascii="Times New Roman" w:hAnsi="Times New Roman" w:cs="Times New Roman"/>
          <w:szCs w:val="21"/>
        </w:rPr>
      </w:pPr>
    </w:p>
    <w:p w:rsidR="00401A0A" w:rsidRDefault="00401A0A">
      <w:pPr>
        <w:tabs>
          <w:tab w:val="left" w:pos="1210"/>
        </w:tabs>
        <w:rPr>
          <w:rFonts w:ascii="Times New Roman" w:hAnsi="Times New Roman" w:cs="Times New Roman"/>
          <w:szCs w:val="21"/>
        </w:rPr>
      </w:pPr>
    </w:p>
    <w:p w:rsidR="00401A0A" w:rsidRDefault="00401A0A">
      <w:pPr>
        <w:tabs>
          <w:tab w:val="left" w:pos="1210"/>
        </w:tabs>
        <w:rPr>
          <w:rFonts w:ascii="Times New Roman" w:hAnsi="Times New Roman" w:cs="Times New Roman"/>
          <w:szCs w:val="21"/>
        </w:rPr>
      </w:pPr>
    </w:p>
    <w:p w:rsidR="00401A0A" w:rsidRDefault="00401A0A">
      <w:pPr>
        <w:tabs>
          <w:tab w:val="left" w:pos="1210"/>
        </w:tabs>
        <w:rPr>
          <w:rFonts w:ascii="Times New Roman" w:hAnsi="Times New Roman" w:cs="Times New Roman"/>
          <w:szCs w:val="21"/>
        </w:rPr>
      </w:pPr>
    </w:p>
    <w:p w:rsidR="00401A0A" w:rsidRDefault="00401A0A">
      <w:pPr>
        <w:tabs>
          <w:tab w:val="left" w:pos="1210"/>
        </w:tabs>
        <w:rPr>
          <w:rFonts w:ascii="Times New Roman" w:hAnsi="Times New Roman" w:cs="Times New Roman"/>
          <w:szCs w:val="21"/>
        </w:rPr>
      </w:pPr>
    </w:p>
    <w:p w:rsidR="00401A0A" w:rsidRDefault="00401A0A">
      <w:pPr>
        <w:tabs>
          <w:tab w:val="left" w:pos="1210"/>
        </w:tabs>
        <w:rPr>
          <w:rFonts w:ascii="Times New Roman" w:hAnsi="Times New Roman" w:cs="Times New Roman"/>
          <w:szCs w:val="21"/>
        </w:rPr>
      </w:pPr>
    </w:p>
    <w:p w:rsidR="00401A0A" w:rsidRDefault="00401A0A">
      <w:pPr>
        <w:tabs>
          <w:tab w:val="left" w:pos="1210"/>
        </w:tabs>
        <w:rPr>
          <w:rFonts w:ascii="Times New Roman" w:hAnsi="Times New Roman" w:cs="Times New Roman"/>
          <w:szCs w:val="21"/>
        </w:rPr>
      </w:pPr>
    </w:p>
    <w:p w:rsidR="00401A0A" w:rsidRDefault="00401A0A">
      <w:pPr>
        <w:tabs>
          <w:tab w:val="left" w:pos="1210"/>
        </w:tabs>
        <w:rPr>
          <w:rFonts w:ascii="Times New Roman" w:hAnsi="Times New Roman" w:cs="Times New Roman"/>
          <w:szCs w:val="21"/>
        </w:rPr>
      </w:pPr>
    </w:p>
    <w:p w:rsidR="00401A0A" w:rsidRDefault="00401A0A">
      <w:pPr>
        <w:tabs>
          <w:tab w:val="left" w:pos="1210"/>
        </w:tabs>
        <w:jc w:val="center"/>
        <w:rPr>
          <w:rFonts w:ascii="Times New Roman" w:hAnsi="Times New Roman" w:cs="Times New Roman"/>
          <w:szCs w:val="21"/>
        </w:rPr>
      </w:pPr>
    </w:p>
    <w:p w:rsidR="00401A0A" w:rsidRDefault="00D71D86">
      <w:pPr>
        <w:tabs>
          <w:tab w:val="left" w:pos="1210"/>
        </w:tabs>
        <w:jc w:val="center"/>
        <w:rPr>
          <w:rFonts w:hint="eastAsia"/>
        </w:rPr>
      </w:pPr>
      <w:r>
        <w:rPr>
          <w:rFonts w:ascii="Times New Roman" w:hAnsi="Times New Roman" w:cs="Times New Roman" w:hint="eastAsia"/>
          <w:szCs w:val="21"/>
        </w:rPr>
        <w:t xml:space="preserve">  </w:t>
      </w:r>
      <w:r>
        <w:rPr>
          <w:rFonts w:ascii="Times New Roman" w:hAnsi="Times New Roman" w:cs="Times New Roman"/>
          <w:szCs w:val="21"/>
        </w:rPr>
        <w:t xml:space="preserve">FIGURE </w:t>
      </w:r>
      <w:r>
        <w:rPr>
          <w:rFonts w:ascii="Times New Roman" w:hAnsi="Times New Roman" w:cs="Times New Roman" w:hint="eastAsia"/>
          <w:szCs w:val="21"/>
        </w:rPr>
        <w:t>2</w:t>
      </w:r>
    </w:p>
    <w:sectPr w:rsidR="00401A0A" w:rsidSect="00401A0A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3747"/>
    <w:rsid w:val="00045537"/>
    <w:rsid w:val="00073796"/>
    <w:rsid w:val="00153747"/>
    <w:rsid w:val="00157E05"/>
    <w:rsid w:val="001972D9"/>
    <w:rsid w:val="001A7406"/>
    <w:rsid w:val="002551B7"/>
    <w:rsid w:val="00397BCC"/>
    <w:rsid w:val="003D1DD1"/>
    <w:rsid w:val="00401A0A"/>
    <w:rsid w:val="004B5C41"/>
    <w:rsid w:val="00547FDB"/>
    <w:rsid w:val="00625544"/>
    <w:rsid w:val="006F223C"/>
    <w:rsid w:val="00744F4C"/>
    <w:rsid w:val="007C16C4"/>
    <w:rsid w:val="008A4EE3"/>
    <w:rsid w:val="009342E0"/>
    <w:rsid w:val="00A36CED"/>
    <w:rsid w:val="00B51C26"/>
    <w:rsid w:val="00BD555D"/>
    <w:rsid w:val="00D57BD1"/>
    <w:rsid w:val="00DD60A7"/>
    <w:rsid w:val="00E412ED"/>
    <w:rsid w:val="00F60216"/>
    <w:rsid w:val="00F64ECF"/>
    <w:rsid w:val="00F75614"/>
    <w:rsid w:val="00FF39F6"/>
    <w:rsid w:val="010A5DBA"/>
    <w:rsid w:val="01353471"/>
    <w:rsid w:val="01FD6FD7"/>
    <w:rsid w:val="061F0992"/>
    <w:rsid w:val="112D641C"/>
    <w:rsid w:val="13984194"/>
    <w:rsid w:val="1A9A2C26"/>
    <w:rsid w:val="1B0455FB"/>
    <w:rsid w:val="1EB60BFB"/>
    <w:rsid w:val="23EE7167"/>
    <w:rsid w:val="24402DCD"/>
    <w:rsid w:val="25BD2ED9"/>
    <w:rsid w:val="29103B33"/>
    <w:rsid w:val="29861638"/>
    <w:rsid w:val="313A1EA1"/>
    <w:rsid w:val="34A51B31"/>
    <w:rsid w:val="38D37554"/>
    <w:rsid w:val="43B607FA"/>
    <w:rsid w:val="45D417E9"/>
    <w:rsid w:val="4BC05EB3"/>
    <w:rsid w:val="4F75416E"/>
    <w:rsid w:val="4FCA0ED0"/>
    <w:rsid w:val="51880633"/>
    <w:rsid w:val="523651E2"/>
    <w:rsid w:val="57FB29A6"/>
    <w:rsid w:val="594E04C4"/>
    <w:rsid w:val="59D408EB"/>
    <w:rsid w:val="60A269B3"/>
    <w:rsid w:val="61CE03A6"/>
    <w:rsid w:val="63342314"/>
    <w:rsid w:val="64F73B0C"/>
    <w:rsid w:val="69552692"/>
    <w:rsid w:val="69BB2587"/>
    <w:rsid w:val="69E30F2B"/>
    <w:rsid w:val="6B6E1C00"/>
    <w:rsid w:val="6EF73CA7"/>
    <w:rsid w:val="6F063E1D"/>
    <w:rsid w:val="70333AAD"/>
    <w:rsid w:val="767502D9"/>
    <w:rsid w:val="78B63546"/>
    <w:rsid w:val="7BE235B5"/>
    <w:rsid w:val="7E5A7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01A0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01A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ersonal\Desktop\&#24635;&#3721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ersonal\Desktop\&#24635;&#37210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ersonal\Desktop\&#24635;&#37210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ersonal\Desktop\&#33457;&#33394;&#33527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CN"/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900" b="1" i="0" u="none" strike="noStrike" kern="1200" baseline="0">
                <a:solidFill>
                  <a:srgbClr val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</a:defRPr>
            </a:pPr>
            <a:r>
              <a:rPr lang="en-US" altLang="zh-CN" sz="900" b="1" i="0" u="none" strike="noStrike" baseline="0">
                <a:solidFill>
                  <a:srgbClr val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</a:rPr>
              <a:t>(A)</a:t>
            </a:r>
            <a:endParaRPr lang="en-US" altLang="zh-CN" sz="1200" b="0" i="0" u="none" strike="noStrike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51270419693301106"/>
          <c:y val="0.84521120313862308"/>
        </c:manualLayout>
      </c:layout>
    </c:title>
    <c:plotArea>
      <c:layout>
        <c:manualLayout>
          <c:layoutTarget val="inner"/>
          <c:xMode val="edge"/>
          <c:yMode val="edge"/>
          <c:x val="0.20051340448189287"/>
          <c:y val="5.6571224051539012E-2"/>
          <c:w val="0.72544908317852175"/>
          <c:h val="0.62300000000000011"/>
        </c:manualLayout>
      </c:layout>
      <c:scatterChart>
        <c:scatterStyle val="lineMarker"/>
        <c:ser>
          <c:idx val="0"/>
          <c:order val="0"/>
          <c:spPr>
            <a:ln w="12700" cap="rnd" cmpd="sng" algn="ctr">
              <a:noFill/>
              <a:prstDash val="solid"/>
              <a:round/>
            </a:ln>
          </c:spPr>
          <c:marker>
            <c:symbol val="diamond"/>
            <c:size val="5"/>
            <c:spPr>
              <a:solidFill>
                <a:srgbClr val="000080"/>
              </a:solidFill>
              <a:ln w="6350" cap="flat" cmpd="sng" algn="ctr">
                <a:solidFill>
                  <a:srgbClr val="000080"/>
                </a:solidFill>
                <a:prstDash val="solid"/>
                <a:round/>
              </a:ln>
            </c:spPr>
          </c:marker>
          <c:trendline>
            <c:spPr>
              <a:ln w="25400" cap="rnd" cmpd="sng" algn="ctr">
                <a:solidFill>
                  <a:srgbClr val="000000">
                    <a:alpha val="100000"/>
                  </a:srgbClr>
                </a:solidFill>
                <a:prstDash val="solid"/>
                <a:round/>
              </a:ln>
            </c:spPr>
            <c:trendlineType val="linear"/>
            <c:dispRSqr val="1"/>
            <c:trendlineLbl>
              <c:layout>
                <c:manualLayout>
                  <c:x val="-4.2560000000000008E-2"/>
                  <c:y val="-7.4760000000000017E-3"/>
                </c:manualLayout>
              </c:layout>
              <c:numFmt formatCode="General" sourceLinked="0"/>
              <c:txPr>
                <a:bodyPr rot="0" spcFirstLastPara="0" vertOverflow="ellipsis" vert="horz" wrap="square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rgbClr val="000000"/>
                      </a:solid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</a:defRPr>
                  </a:pPr>
                  <a:endParaRPr lang="zh-CN"/>
                </a:p>
              </c:txPr>
            </c:trendlineLbl>
          </c:trendline>
          <c:xVal>
            <c:numRef>
              <c:f>[总酚.xls]总酚!$A$1:$H$1</c:f>
              <c:numCache>
                <c:formatCode>General</c:formatCode>
                <c:ptCount val="8"/>
                <c:pt idx="0">
                  <c:v>2710</c:v>
                </c:pt>
                <c:pt idx="1">
                  <c:v>1130</c:v>
                </c:pt>
                <c:pt idx="2">
                  <c:v>1313</c:v>
                </c:pt>
                <c:pt idx="3">
                  <c:v>2330</c:v>
                </c:pt>
                <c:pt idx="4">
                  <c:v>1657</c:v>
                </c:pt>
                <c:pt idx="5">
                  <c:v>860</c:v>
                </c:pt>
                <c:pt idx="6">
                  <c:v>941</c:v>
                </c:pt>
                <c:pt idx="7">
                  <c:v>1248</c:v>
                </c:pt>
              </c:numCache>
            </c:numRef>
          </c:xVal>
          <c:yVal>
            <c:numRef>
              <c:f>[总酚.xls]总酚!$A$2:$H$2</c:f>
              <c:numCache>
                <c:formatCode>General</c:formatCode>
                <c:ptCount val="8"/>
                <c:pt idx="0">
                  <c:v>6179.4</c:v>
                </c:pt>
                <c:pt idx="1">
                  <c:v>4832.2</c:v>
                </c:pt>
                <c:pt idx="2">
                  <c:v>4670.3999999999996</c:v>
                </c:pt>
                <c:pt idx="3">
                  <c:v>5342.3</c:v>
                </c:pt>
                <c:pt idx="4">
                  <c:v>5304.1</c:v>
                </c:pt>
                <c:pt idx="5">
                  <c:v>3857</c:v>
                </c:pt>
                <c:pt idx="6">
                  <c:v>3890.3</c:v>
                </c:pt>
                <c:pt idx="7">
                  <c:v>4852.6000000000004</c:v>
                </c:pt>
              </c:numCache>
            </c:numRef>
          </c:yVal>
        </c:ser>
        <c:dLbls/>
        <c:axId val="58008704"/>
        <c:axId val="58010624"/>
      </c:scatterChart>
      <c:valAx>
        <c:axId val="58008704"/>
        <c:scaling>
          <c:orientation val="minMax"/>
          <c:min val="500"/>
        </c:scaling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900" b="0" i="0" u="none" strike="noStrike" kern="1200" baseline="0">
                    <a:solidFill>
                      <a:srgbClr val="000000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</a:defRPr>
                </a:pPr>
                <a:r>
                  <a:t>Total phenolics (mg GAE/L)</a:t>
                </a:r>
                <a:endParaRPr sz="900" b="0" i="0" u="none" strike="noStrike" baseline="0">
                  <a:solidFill>
                    <a:srgbClr val="000000"/>
                  </a:solidFill>
                  <a:latin typeface="Times New Roman" panose="02020603050405020304" charset="0"/>
                  <a:ea typeface="Times New Roman" panose="02020603050405020304" charset="0"/>
                  <a:cs typeface="Times New Roman" panose="02020603050405020304" charset="0"/>
                </a:endParaRPr>
              </a:p>
            </c:rich>
          </c:tx>
          <c:layout/>
        </c:title>
        <c:numFmt formatCode="General" sourceLinked="1"/>
        <c:majorTickMark val="in"/>
        <c:tickLblPos val="nextTo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</a:defRPr>
            </a:pPr>
            <a:endParaRPr lang="zh-CN"/>
          </a:p>
        </c:txPr>
        <c:crossAx val="58010624"/>
        <c:crosses val="autoZero"/>
        <c:crossBetween val="midCat"/>
      </c:valAx>
      <c:valAx>
        <c:axId val="58010624"/>
        <c:scaling>
          <c:orientation val="minMax"/>
          <c:min val="3500"/>
        </c:scaling>
        <c:axPos val="l"/>
        <c:majorGridlines>
          <c:spPr>
            <a:ln w="3175" cap="flat" cmpd="sng" algn="ctr">
              <a:solidFill>
                <a:srgbClr val="FFFFFF">
                  <a:alpha val="100000"/>
                </a:srgbClr>
              </a:solidFill>
              <a:prstDash val="solid"/>
              <a:round/>
            </a:ln>
          </c:spPr>
        </c:majorGridlines>
        <c:title>
          <c:tx>
            <c:rich>
              <a:bodyPr rot="-5400000" spcFirstLastPara="0" vertOverflow="ellipsis" vert="horz" wrap="square" anchor="ctr" anchorCtr="1"/>
              <a:lstStyle/>
              <a:p>
                <a:pPr defTabSz="914400">
                  <a:defRPr lang="zh-CN" sz="900" b="0" i="0" u="none" strike="noStrike" kern="1200" baseline="0">
                    <a:solidFill>
                      <a:srgbClr val="000000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</a:defRPr>
                </a:pPr>
                <a:r>
                  <a:t>Radical scavenging activity (μ</a:t>
                </a:r>
                <a:r>
                  <a:rPr lang="en-US" altLang="zh-CN"/>
                  <a:t>M TE/L</a:t>
                </a:r>
                <a:r>
                  <a:t>)</a:t>
                </a:r>
                <a:endParaRPr sz="900" b="0" i="0" u="none" strike="noStrike" baseline="0">
                  <a:solidFill>
                    <a:srgbClr val="000000"/>
                  </a:solidFill>
                  <a:latin typeface="Times New Roman" panose="02020603050405020304" charset="0"/>
                  <a:ea typeface="Times New Roman" panose="02020603050405020304" charset="0"/>
                  <a:cs typeface="Times New Roman" panose="02020603050405020304" charset="0"/>
                </a:endParaRPr>
              </a:p>
            </c:rich>
          </c:tx>
          <c:layout>
            <c:manualLayout>
              <c:xMode val="edge"/>
              <c:yMode val="edge"/>
              <c:x val="1.2044212637290048E-3"/>
              <c:y val="3.4090909090909088E-2"/>
            </c:manualLayout>
          </c:layout>
        </c:title>
        <c:numFmt formatCode="General" sourceLinked="1"/>
        <c:majorTickMark val="in"/>
        <c:tickLblPos val="nextTo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</a:defRPr>
            </a:pPr>
            <a:endParaRPr lang="zh-CN"/>
          </a:p>
        </c:txPr>
        <c:crossAx val="58008704"/>
        <c:crosses val="autoZero"/>
        <c:crossBetween val="midCat"/>
        <c:majorUnit val="500"/>
      </c:valAx>
      <c:spPr>
        <a:solidFill>
          <a:srgbClr val="FFFFFF">
            <a:alpha val="100000"/>
          </a:srgbClr>
        </a:solidFill>
        <a:ln w="3175">
          <a:noFill/>
        </a:ln>
      </c:spPr>
    </c:plotArea>
    <c:plotVisOnly val="1"/>
    <c:dispBlanksAs val="gap"/>
  </c:chart>
  <c:spPr>
    <a:noFill/>
    <a:ln w="3175" cap="flat" cmpd="sng" algn="ctr">
      <a:solidFill>
        <a:srgbClr val="FFFFFF">
          <a:alpha val="100000"/>
        </a:srgbClr>
      </a:solidFill>
      <a:prstDash val="solid"/>
      <a:round/>
    </a:ln>
  </c:spPr>
  <c:txPr>
    <a:bodyPr rot="0" wrap="square" anchor="ctr" anchorCtr="1"/>
    <a:lstStyle/>
    <a:p>
      <a:pPr>
        <a:defRPr lang="zh-CN" sz="800" b="0" i="0" u="none" strike="noStrike" baseline="0">
          <a:solidFill>
            <a:srgbClr val="000000"/>
          </a:solidFill>
          <a:latin typeface="Times New Roman" panose="02020603050405020304" charset="0"/>
          <a:ea typeface="Times New Roman" panose="02020603050405020304" charset="0"/>
          <a:cs typeface="Times New Roman" panose="02020603050405020304" charset="0"/>
        </a:defRPr>
      </a:pPr>
      <a:endParaRPr lang="zh-CN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CN"/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900" b="1" i="0" u="none" strike="noStrike" kern="1200" baseline="0">
                <a:solidFill>
                  <a:srgbClr val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</a:defRPr>
            </a:pPr>
            <a:r>
              <a:rPr lang="en-US" altLang="zh-CN" sz="900" b="1" i="0" u="none" strike="noStrike" baseline="0">
                <a:solidFill>
                  <a:srgbClr val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</a:rPr>
              <a:t>(B)</a:t>
            </a:r>
            <a:endParaRPr lang="en-US" altLang="zh-CN" sz="1200" b="0" i="0" u="none" strike="noStrike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52375406504064992"/>
          <c:y val="0.81625974025974002"/>
        </c:manualLayout>
      </c:layout>
    </c:title>
    <c:plotArea>
      <c:layout>
        <c:manualLayout>
          <c:layoutTarget val="inner"/>
          <c:xMode val="edge"/>
          <c:yMode val="edge"/>
          <c:x val="0.20450000000000002"/>
          <c:y val="3.6750000000000005E-2"/>
          <c:w val="0.7007500000000001"/>
          <c:h val="0.63550000000000006"/>
        </c:manualLayout>
      </c:layout>
      <c:scatterChart>
        <c:scatterStyle val="lineMarker"/>
        <c:ser>
          <c:idx val="0"/>
          <c:order val="0"/>
          <c:spPr>
            <a:ln w="12700" cap="rnd" cmpd="sng" algn="ctr">
              <a:noFill/>
              <a:prstDash val="solid"/>
              <a:round/>
            </a:ln>
          </c:spPr>
          <c:marker>
            <c:symbol val="diamond"/>
            <c:size val="5"/>
            <c:spPr>
              <a:solidFill>
                <a:srgbClr val="000080"/>
              </a:solidFill>
              <a:ln w="6350" cap="flat" cmpd="sng" algn="ctr">
                <a:solidFill>
                  <a:srgbClr val="000080"/>
                </a:solidFill>
                <a:prstDash val="solid"/>
                <a:round/>
              </a:ln>
            </c:spPr>
          </c:marker>
          <c:trendline>
            <c:spPr>
              <a:ln w="25400" cap="rnd" cmpd="sng" algn="ctr">
                <a:solidFill>
                  <a:srgbClr val="000000">
                    <a:alpha val="100000"/>
                  </a:srgbClr>
                </a:solidFill>
                <a:prstDash val="solid"/>
                <a:round/>
              </a:ln>
            </c:spPr>
            <c:trendlineType val="linear"/>
            <c:dispRSqr val="1"/>
            <c:trendlineLbl>
              <c:layout>
                <c:manualLayout>
                  <c:x val="-3.0832999999999999E-2"/>
                  <c:y val="-2.0336000000000003E-2"/>
                </c:manualLayout>
              </c:layout>
              <c:numFmt formatCode="General" sourceLinked="0"/>
              <c:txPr>
                <a:bodyPr rot="0" spcFirstLastPara="0" vertOverflow="ellipsis" vert="horz" wrap="square" anchor="ctr" anchorCtr="1"/>
                <a:lstStyle/>
                <a:p>
                  <a:pPr>
                    <a:defRPr lang="zh-CN" sz="950" b="0" i="0" u="none" strike="noStrike" kern="1200" baseline="0">
                      <a:solidFill>
                        <a:srgbClr val="000000"/>
                      </a:solid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</a:defRPr>
                  </a:pPr>
                  <a:endParaRPr lang="zh-CN"/>
                </a:p>
              </c:txPr>
            </c:trendlineLbl>
          </c:trendline>
          <c:xVal>
            <c:numRef>
              <c:f>[总酚.xls]总类黄酮!$A$1:$H$1</c:f>
              <c:numCache>
                <c:formatCode>General</c:formatCode>
                <c:ptCount val="8"/>
                <c:pt idx="0">
                  <c:v>2290</c:v>
                </c:pt>
                <c:pt idx="1">
                  <c:v>860</c:v>
                </c:pt>
                <c:pt idx="2">
                  <c:v>1189</c:v>
                </c:pt>
                <c:pt idx="3">
                  <c:v>1906</c:v>
                </c:pt>
                <c:pt idx="4">
                  <c:v>1375</c:v>
                </c:pt>
                <c:pt idx="5">
                  <c:v>697.5</c:v>
                </c:pt>
                <c:pt idx="6">
                  <c:v>660.6</c:v>
                </c:pt>
                <c:pt idx="7">
                  <c:v>1031</c:v>
                </c:pt>
              </c:numCache>
            </c:numRef>
          </c:xVal>
          <c:yVal>
            <c:numRef>
              <c:f>[总酚.xls]总类黄酮!$A$2:$H$2</c:f>
              <c:numCache>
                <c:formatCode>General</c:formatCode>
                <c:ptCount val="8"/>
                <c:pt idx="0">
                  <c:v>6179.4</c:v>
                </c:pt>
                <c:pt idx="1">
                  <c:v>4832.2</c:v>
                </c:pt>
                <c:pt idx="2">
                  <c:v>4670.3999999999996</c:v>
                </c:pt>
                <c:pt idx="3">
                  <c:v>5342.3</c:v>
                </c:pt>
                <c:pt idx="4">
                  <c:v>5304.1</c:v>
                </c:pt>
                <c:pt idx="5">
                  <c:v>3857</c:v>
                </c:pt>
                <c:pt idx="6">
                  <c:v>3890.3</c:v>
                </c:pt>
                <c:pt idx="7">
                  <c:v>4852.6000000000004</c:v>
                </c:pt>
              </c:numCache>
            </c:numRef>
          </c:yVal>
        </c:ser>
        <c:dLbls/>
        <c:axId val="58077184"/>
        <c:axId val="58079104"/>
      </c:scatterChart>
      <c:valAx>
        <c:axId val="58077184"/>
        <c:scaling>
          <c:orientation val="minMax"/>
          <c:min val="500"/>
        </c:scaling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950" b="0" i="0" u="none" strike="noStrike" kern="1200" baseline="0">
                    <a:solidFill>
                      <a:srgbClr val="000000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</a:defRPr>
                </a:pPr>
                <a:r>
                  <a:t>Total flavonoids (mg CTE/L)</a:t>
                </a:r>
                <a:endParaRPr sz="950" b="0" i="0" u="none" strike="noStrike" baseline="0">
                  <a:solidFill>
                    <a:srgbClr val="000000"/>
                  </a:solidFill>
                  <a:latin typeface="Times New Roman" panose="02020603050405020304" charset="0"/>
                  <a:ea typeface="Times New Roman" panose="02020603050405020304" charset="0"/>
                  <a:cs typeface="Times New Roman" panose="02020603050405020304" charset="0"/>
                </a:endParaRPr>
              </a:p>
            </c:rich>
          </c:tx>
          <c:layout>
            <c:manualLayout>
              <c:xMode val="edge"/>
              <c:yMode val="edge"/>
              <c:x val="0.36823553455284602"/>
              <c:y val="0.75683874458874512"/>
            </c:manualLayout>
          </c:layout>
        </c:title>
        <c:numFmt formatCode="General" sourceLinked="1"/>
        <c:majorTickMark val="in"/>
        <c:tickLblPos val="nextTo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950" b="0" i="0" u="none" strike="noStrike" kern="1200" baseline="0">
                <a:solidFill>
                  <a:srgbClr val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</a:defRPr>
            </a:pPr>
            <a:endParaRPr lang="zh-CN"/>
          </a:p>
        </c:txPr>
        <c:crossAx val="58079104"/>
        <c:crosses val="autoZero"/>
        <c:crossBetween val="midCat"/>
      </c:valAx>
      <c:valAx>
        <c:axId val="58079104"/>
        <c:scaling>
          <c:orientation val="minMax"/>
          <c:min val="3500"/>
        </c:scaling>
        <c:axPos val="l"/>
        <c:title>
          <c:tx>
            <c:rich>
              <a:bodyPr rot="-5400000" spcFirstLastPara="0" vertOverflow="ellipsis" vert="horz" wrap="square" anchor="ctr" anchorCtr="1"/>
              <a:lstStyle/>
              <a:p>
                <a:pPr defTabSz="914400">
                  <a:defRPr lang="zh-CN" sz="900" b="0" i="0" u="none" strike="noStrike" kern="1200" baseline="0">
                    <a:solidFill>
                      <a:srgbClr val="000000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</a:defRPr>
                </a:pPr>
                <a:r>
                  <a:t>Radical scavenging activity (μ</a:t>
                </a:r>
                <a:r>
                  <a:rPr lang="en-US" altLang="zh-CN"/>
                  <a:t>M TE/</a:t>
                </a:r>
                <a:r>
                  <a:t>L)</a:t>
                </a:r>
                <a:endParaRPr sz="900" b="0" i="0" u="none" strike="noStrike" baseline="0">
                  <a:solidFill>
                    <a:srgbClr val="000000"/>
                  </a:solidFill>
                  <a:latin typeface="Times New Roman" panose="02020603050405020304" charset="0"/>
                  <a:ea typeface="Times New Roman" panose="02020603050405020304" charset="0"/>
                  <a:cs typeface="Times New Roman" panose="02020603050405020304" charset="0"/>
                </a:endParaRPr>
              </a:p>
            </c:rich>
          </c:tx>
          <c:layout>
            <c:manualLayout>
              <c:xMode val="edge"/>
              <c:yMode val="edge"/>
              <c:x val="3.8785787818925461E-3"/>
              <c:y val="7.5395828097511936E-3"/>
            </c:manualLayout>
          </c:layout>
        </c:title>
        <c:numFmt formatCode="General" sourceLinked="1"/>
        <c:majorTickMark val="in"/>
        <c:tickLblPos val="nextTo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950" b="0" i="0" u="none" strike="noStrike" kern="1200" baseline="0">
                <a:solidFill>
                  <a:srgbClr val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</a:defRPr>
            </a:pPr>
            <a:endParaRPr lang="zh-CN"/>
          </a:p>
        </c:txPr>
        <c:crossAx val="58077184"/>
        <c:crosses val="autoZero"/>
        <c:crossBetween val="midCat"/>
      </c:valAx>
      <c:spPr>
        <a:solidFill>
          <a:srgbClr val="FFFFFF">
            <a:alpha val="100000"/>
          </a:srgbClr>
        </a:solidFill>
        <a:ln w="12700">
          <a:solidFill>
            <a:srgbClr val="FFFFFF">
              <a:alpha val="100000"/>
            </a:srgbClr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3175" cap="flat" cmpd="sng" algn="ctr">
      <a:noFill/>
      <a:prstDash val="solid"/>
      <a:round/>
    </a:ln>
  </c:spPr>
  <c:txPr>
    <a:bodyPr rot="0" wrap="square" anchor="ctr" anchorCtr="1"/>
    <a:lstStyle/>
    <a:p>
      <a:pPr>
        <a:defRPr lang="zh-CN" sz="800" b="0" i="0" u="none" strike="noStrike" baseline="0">
          <a:solidFill>
            <a:srgbClr val="000000"/>
          </a:solidFill>
          <a:latin typeface="宋体" panose="02010600030101010101" charset="-122"/>
          <a:ea typeface="宋体" panose="02010600030101010101" charset="-122"/>
          <a:cs typeface="宋体" panose="02010600030101010101" charset="-122"/>
        </a:defRPr>
      </a:pPr>
      <a:endParaRPr lang="zh-CN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CN"/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900" b="1" i="0" u="none" strike="noStrike" kern="1200" baseline="0">
                <a:solidFill>
                  <a:srgbClr val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</a:defRPr>
            </a:pPr>
            <a:r>
              <a:rPr lang="en-US" altLang="zh-CN" sz="900" b="1" i="0" u="none" strike="noStrike" baseline="0">
                <a:solidFill>
                  <a:srgbClr val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</a:rPr>
              <a:t>(C)</a:t>
            </a:r>
            <a:endParaRPr lang="en-US" altLang="zh-CN" sz="1200" b="0" i="0" u="none" strike="noStrike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53700739408473197"/>
          <c:y val="0.789892875896548"/>
        </c:manualLayout>
      </c:layout>
    </c:title>
    <c:plotArea>
      <c:layout>
        <c:manualLayout>
          <c:layoutTarget val="inner"/>
          <c:xMode val="edge"/>
          <c:yMode val="edge"/>
          <c:x val="0.1971354539856153"/>
          <c:y val="3.6753914632556915E-2"/>
          <c:w val="0.7401493468013991"/>
          <c:h val="0.62650000000000006"/>
        </c:manualLayout>
      </c:layout>
      <c:scatterChart>
        <c:scatterStyle val="lineMarker"/>
        <c:ser>
          <c:idx val="0"/>
          <c:order val="0"/>
          <c:spPr>
            <a:ln w="12700" cap="rnd" cmpd="sng" algn="ctr">
              <a:noFill/>
              <a:prstDash val="solid"/>
              <a:round/>
            </a:ln>
          </c:spPr>
          <c:marker>
            <c:symbol val="diamond"/>
            <c:size val="5"/>
            <c:spPr>
              <a:solidFill>
                <a:srgbClr val="000080"/>
              </a:solidFill>
              <a:ln w="6350" cap="flat" cmpd="sng" algn="ctr">
                <a:solidFill>
                  <a:srgbClr val="000080"/>
                </a:solidFill>
                <a:prstDash val="solid"/>
                <a:round/>
              </a:ln>
            </c:spPr>
          </c:marker>
          <c:trendline>
            <c:spPr>
              <a:ln w="25400" cap="rnd" cmpd="sng" algn="ctr">
                <a:solidFill>
                  <a:srgbClr val="000000">
                    <a:alpha val="100000"/>
                  </a:srgbClr>
                </a:solidFill>
                <a:prstDash val="solid"/>
                <a:round/>
              </a:ln>
            </c:spPr>
            <c:trendlineType val="linear"/>
            <c:dispRSqr val="1"/>
            <c:trendlineLbl>
              <c:layout>
                <c:manualLayout>
                  <c:x val="-0.11359170714900901"/>
                  <c:y val="1.7379595744661008E-2"/>
                </c:manualLayout>
              </c:layout>
              <c:numFmt formatCode="General" sourceLinked="0"/>
              <c:txPr>
                <a:bodyPr rot="0" spcFirstLastPara="0" vertOverflow="ellipsis" vert="horz" wrap="square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rgbClr val="000000"/>
                      </a:solid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</a:defRPr>
                  </a:pPr>
                  <a:endParaRPr lang="zh-CN"/>
                </a:p>
              </c:txPr>
            </c:trendlineLbl>
          </c:trendline>
          <c:xVal>
            <c:numRef>
              <c:f>[总酚.xls]总黄烷醇!$A$1:$H$1</c:f>
              <c:numCache>
                <c:formatCode>General</c:formatCode>
                <c:ptCount val="8"/>
                <c:pt idx="0">
                  <c:v>532.29999999999995</c:v>
                </c:pt>
                <c:pt idx="1">
                  <c:v>277.7</c:v>
                </c:pt>
                <c:pt idx="2">
                  <c:v>342.7</c:v>
                </c:pt>
                <c:pt idx="3">
                  <c:v>666.4</c:v>
                </c:pt>
                <c:pt idx="4">
                  <c:v>497.4</c:v>
                </c:pt>
                <c:pt idx="5">
                  <c:v>279.8</c:v>
                </c:pt>
                <c:pt idx="6">
                  <c:v>272.8</c:v>
                </c:pt>
                <c:pt idx="7">
                  <c:v>361.1</c:v>
                </c:pt>
              </c:numCache>
            </c:numRef>
          </c:xVal>
          <c:yVal>
            <c:numRef>
              <c:f>[总酚.xls]总黄烷醇!$A$2:$H$2</c:f>
              <c:numCache>
                <c:formatCode>General</c:formatCode>
                <c:ptCount val="8"/>
                <c:pt idx="0">
                  <c:v>6179.4</c:v>
                </c:pt>
                <c:pt idx="1">
                  <c:v>4832.2</c:v>
                </c:pt>
                <c:pt idx="2">
                  <c:v>4670.3999999999996</c:v>
                </c:pt>
                <c:pt idx="3">
                  <c:v>5342.3</c:v>
                </c:pt>
                <c:pt idx="4">
                  <c:v>5304.1</c:v>
                </c:pt>
                <c:pt idx="5">
                  <c:v>3857</c:v>
                </c:pt>
                <c:pt idx="6">
                  <c:v>3890.3</c:v>
                </c:pt>
                <c:pt idx="7">
                  <c:v>4852.6000000000004</c:v>
                </c:pt>
              </c:numCache>
            </c:numRef>
          </c:yVal>
        </c:ser>
        <c:dLbls/>
        <c:axId val="58104064"/>
        <c:axId val="33894784"/>
      </c:scatterChart>
      <c:valAx>
        <c:axId val="58104064"/>
        <c:scaling>
          <c:orientation val="minMax"/>
          <c:min val="200"/>
        </c:scaling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900" b="0" i="0" u="none" strike="noStrike" kern="1200" baseline="0">
                    <a:solidFill>
                      <a:srgbClr val="000000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</a:defRPr>
                </a:pPr>
                <a:r>
                  <a:t>Total flavanols (mg CTE/L)</a:t>
                </a:r>
                <a:endParaRPr sz="900" b="0" i="0" u="none" strike="noStrike" baseline="0">
                  <a:solidFill>
                    <a:srgbClr val="000000"/>
                  </a:solidFill>
                  <a:latin typeface="Times New Roman" panose="02020603050405020304" charset="0"/>
                  <a:ea typeface="Times New Roman" panose="02020603050405020304" charset="0"/>
                  <a:cs typeface="Times New Roman" panose="02020603050405020304" charset="0"/>
                </a:endParaRPr>
              </a:p>
            </c:rich>
          </c:tx>
          <c:layout>
            <c:manualLayout>
              <c:xMode val="edge"/>
              <c:yMode val="edge"/>
              <c:x val="0.38423101184571301"/>
              <c:y val="0.73916222896585893"/>
            </c:manualLayout>
          </c:layout>
        </c:title>
        <c:numFmt formatCode="General" sourceLinked="1"/>
        <c:majorTickMark val="in"/>
        <c:tickLblPos val="nextTo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</a:defRPr>
            </a:pPr>
            <a:endParaRPr lang="zh-CN"/>
          </a:p>
        </c:txPr>
        <c:crossAx val="33894784"/>
        <c:crosses val="autoZero"/>
        <c:crossBetween val="midCat"/>
      </c:valAx>
      <c:valAx>
        <c:axId val="33894784"/>
        <c:scaling>
          <c:orientation val="minMax"/>
          <c:min val="3500"/>
        </c:scaling>
        <c:axPos val="l"/>
        <c:title>
          <c:tx>
            <c:rich>
              <a:bodyPr rot="-5400000" spcFirstLastPara="0" vertOverflow="ellipsis" vert="horz" wrap="square" anchor="ctr" anchorCtr="1"/>
              <a:lstStyle/>
              <a:p>
                <a:pPr defTabSz="914400">
                  <a:defRPr lang="zh-CN" sz="900" b="0" i="0" u="none" strike="noStrike" kern="1200" baseline="0">
                    <a:solidFill>
                      <a:srgbClr val="000000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</a:defRPr>
                </a:pPr>
                <a:r>
                  <a:t>Radical scavenging activity (μ</a:t>
                </a:r>
                <a:r>
                  <a:rPr lang="en-US" altLang="zh-CN"/>
                  <a:t>M TE</a:t>
                </a:r>
                <a:r>
                  <a:t>/L)</a:t>
                </a:r>
                <a:endParaRPr sz="900" b="0" i="0" u="none" strike="noStrike" baseline="0">
                  <a:solidFill>
                    <a:srgbClr val="000000"/>
                  </a:solidFill>
                  <a:latin typeface="Times New Roman" panose="02020603050405020304" charset="0"/>
                  <a:ea typeface="Times New Roman" panose="02020603050405020304" charset="0"/>
                  <a:cs typeface="Times New Roman" panose="02020603050405020304" charset="0"/>
                </a:endParaRPr>
              </a:p>
            </c:rich>
          </c:tx>
          <c:layout/>
        </c:title>
        <c:numFmt formatCode="General" sourceLinked="1"/>
        <c:majorTickMark val="in"/>
        <c:tickLblPos val="nextTo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</a:defRPr>
            </a:pPr>
            <a:endParaRPr lang="zh-CN"/>
          </a:p>
        </c:txPr>
        <c:crossAx val="58104064"/>
        <c:crosses val="autoZero"/>
        <c:crossBetween val="midCat"/>
      </c:valAx>
      <c:spPr>
        <a:solidFill>
          <a:srgbClr val="FFFFFF">
            <a:alpha val="100000"/>
          </a:srgbClr>
        </a:solidFill>
        <a:ln w="3175">
          <a:noFill/>
        </a:ln>
      </c:spPr>
    </c:plotArea>
    <c:plotVisOnly val="1"/>
    <c:dispBlanksAs val="gap"/>
  </c:chart>
  <c:spPr>
    <a:solidFill>
      <a:srgbClr val="FFFFFF">
        <a:alpha val="100000"/>
      </a:srgbClr>
    </a:solidFill>
    <a:ln w="3175" cap="flat" cmpd="sng" algn="ctr">
      <a:noFill/>
      <a:prstDash val="solid"/>
      <a:round/>
    </a:ln>
  </c:spPr>
  <c:txPr>
    <a:bodyPr rot="0" wrap="square" anchor="ctr" anchorCtr="1"/>
    <a:lstStyle/>
    <a:p>
      <a:pPr>
        <a:defRPr lang="zh-CN" sz="800" b="0" i="0" u="none" strike="noStrike" baseline="0">
          <a:solidFill>
            <a:srgbClr val="000000"/>
          </a:solidFill>
          <a:latin typeface="宋体" panose="02010600030101010101" charset="-122"/>
          <a:ea typeface="宋体" panose="02010600030101010101" charset="-122"/>
          <a:cs typeface="宋体" panose="02010600030101010101" charset="-122"/>
        </a:defRPr>
      </a:pPr>
      <a:endParaRPr lang="zh-CN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CN"/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900" b="1" i="0" u="none" strike="noStrike" kern="1200" baseline="0">
                <a:solidFill>
                  <a:srgbClr val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</a:defRPr>
            </a:pPr>
            <a:r>
              <a:rPr lang="en-US" altLang="zh-CN" sz="900" b="1" i="0" u="none" strike="noStrike" baseline="0">
                <a:solidFill>
                  <a:srgbClr val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</a:rPr>
              <a:t>(D)</a:t>
            </a:r>
            <a:endParaRPr lang="en-US" altLang="zh-CN" sz="1200" b="0" i="0" u="none" strike="noStrike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51756314948041582"/>
          <c:y val="0.78547478793590986"/>
        </c:manualLayout>
      </c:layout>
    </c:title>
    <c:plotArea>
      <c:layout>
        <c:manualLayout>
          <c:layoutTarget val="inner"/>
          <c:xMode val="edge"/>
          <c:yMode val="edge"/>
          <c:x val="0.22427347949876331"/>
          <c:y val="5.3249078789591307E-2"/>
          <c:w val="0.71396822551455708"/>
          <c:h val="0.59849999999999992"/>
        </c:manualLayout>
      </c:layout>
      <c:scatterChart>
        <c:scatterStyle val="lineMarker"/>
        <c:ser>
          <c:idx val="0"/>
          <c:order val="0"/>
          <c:spPr>
            <a:ln w="12700" cap="rnd" cmpd="sng" algn="ctr">
              <a:noFill/>
              <a:prstDash val="solid"/>
              <a:round/>
            </a:ln>
          </c:spPr>
          <c:marker>
            <c:symbol val="diamond"/>
            <c:size val="5"/>
            <c:spPr>
              <a:solidFill>
                <a:srgbClr val="000080"/>
              </a:solidFill>
              <a:ln w="6350" cap="flat" cmpd="sng" algn="ctr">
                <a:solidFill>
                  <a:srgbClr val="000080"/>
                </a:solidFill>
                <a:prstDash val="solid"/>
                <a:round/>
              </a:ln>
            </c:spPr>
          </c:marker>
          <c:trendline>
            <c:spPr>
              <a:ln w="25400" cap="rnd" cmpd="sng" algn="ctr">
                <a:solidFill>
                  <a:srgbClr val="000000">
                    <a:alpha val="100000"/>
                  </a:srgbClr>
                </a:solidFill>
                <a:prstDash val="solid"/>
                <a:round/>
              </a:ln>
            </c:spPr>
            <c:trendlineType val="linear"/>
            <c:dispRSqr val="1"/>
            <c:trendlineLbl>
              <c:layout>
                <c:manualLayout>
                  <c:x val="-1.9948500000000004E-2"/>
                  <c:y val="-5.1471000000000003E-2"/>
                </c:manualLayout>
              </c:layout>
              <c:numFmt formatCode="General" sourceLinked="0"/>
              <c:txPr>
                <a:bodyPr rot="0" spcFirstLastPara="0" vertOverflow="ellipsis" vert="horz" wrap="square" anchor="ctr" anchorCtr="1"/>
                <a:lstStyle/>
                <a:p>
                  <a:pPr defTabSz="914400">
                    <a:defRPr lang="zh-CN" sz="900" b="0" i="0" u="none" strike="noStrike" kern="1200" baseline="0">
                      <a:solidFill>
                        <a:srgbClr val="000000"/>
                      </a:solid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</a:defRPr>
                  </a:pPr>
                  <a:endParaRPr lang="zh-CN"/>
                </a:p>
              </c:txPr>
            </c:trendlineLbl>
          </c:trendline>
          <c:xVal>
            <c:numRef>
              <c:f>[花色苷.xls]Sheet1!$A$1:$H$1</c:f>
              <c:numCache>
                <c:formatCode>General</c:formatCode>
                <c:ptCount val="8"/>
                <c:pt idx="0">
                  <c:v>400.3</c:v>
                </c:pt>
                <c:pt idx="1">
                  <c:v>286.8</c:v>
                </c:pt>
                <c:pt idx="2">
                  <c:v>261.5</c:v>
                </c:pt>
                <c:pt idx="3">
                  <c:v>372.6</c:v>
                </c:pt>
                <c:pt idx="4">
                  <c:v>350.3</c:v>
                </c:pt>
                <c:pt idx="5">
                  <c:v>259.39999999999998</c:v>
                </c:pt>
                <c:pt idx="6">
                  <c:v>157.5</c:v>
                </c:pt>
                <c:pt idx="7">
                  <c:v>216.7</c:v>
                </c:pt>
              </c:numCache>
            </c:numRef>
          </c:xVal>
          <c:yVal>
            <c:numRef>
              <c:f>[花色苷.xls]Sheet1!$A$2:$H$2</c:f>
              <c:numCache>
                <c:formatCode>General</c:formatCode>
                <c:ptCount val="8"/>
                <c:pt idx="0">
                  <c:v>6179.4</c:v>
                </c:pt>
                <c:pt idx="1">
                  <c:v>4832.2</c:v>
                </c:pt>
                <c:pt idx="2">
                  <c:v>4670.3999999999996</c:v>
                </c:pt>
                <c:pt idx="3">
                  <c:v>5342.3</c:v>
                </c:pt>
                <c:pt idx="4">
                  <c:v>5304.1</c:v>
                </c:pt>
                <c:pt idx="5">
                  <c:v>3857</c:v>
                </c:pt>
                <c:pt idx="6">
                  <c:v>3890.3</c:v>
                </c:pt>
                <c:pt idx="7">
                  <c:v>4852.6000000000004</c:v>
                </c:pt>
              </c:numCache>
            </c:numRef>
          </c:yVal>
        </c:ser>
        <c:dLbls/>
        <c:axId val="33940224"/>
        <c:axId val="33942144"/>
      </c:scatterChart>
      <c:valAx>
        <c:axId val="33940224"/>
        <c:scaling>
          <c:orientation val="minMax"/>
          <c:min val="150"/>
        </c:scaling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900" b="0" i="0" u="none" strike="noStrike" kern="1200" baseline="0">
                    <a:solidFill>
                      <a:srgbClr val="000000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</a:defRPr>
                </a:pPr>
                <a:r>
                  <a:t>Total anthocyanin (mg </a:t>
                </a:r>
                <a:r>
                  <a:rPr lang="en-US" altLang="zh-CN"/>
                  <a:t>Mv</a:t>
                </a:r>
                <a:r>
                  <a:t>/L)</a:t>
                </a:r>
                <a:endParaRPr sz="900" b="0" i="0" u="none" strike="noStrike" baseline="0">
                  <a:solidFill>
                    <a:srgbClr val="000000"/>
                  </a:solidFill>
                  <a:latin typeface="Times New Roman" panose="02020603050405020304" charset="0"/>
                  <a:ea typeface="Times New Roman" panose="02020603050405020304" charset="0"/>
                  <a:cs typeface="Times New Roman" panose="02020603050405020304" charset="0"/>
                </a:endParaRPr>
              </a:p>
            </c:rich>
          </c:tx>
          <c:layout>
            <c:manualLayout>
              <c:xMode val="edge"/>
              <c:yMode val="edge"/>
              <c:x val="0.36165997202238204"/>
              <c:y val="0.72088467436380821"/>
            </c:manualLayout>
          </c:layout>
        </c:title>
        <c:numFmt formatCode="General" sourceLinked="1"/>
        <c:majorTickMark val="in"/>
        <c:tickLblPos val="nextTo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</a:defRPr>
            </a:pPr>
            <a:endParaRPr lang="zh-CN"/>
          </a:p>
        </c:txPr>
        <c:crossAx val="33942144"/>
        <c:crosses val="autoZero"/>
        <c:crossBetween val="midCat"/>
      </c:valAx>
      <c:valAx>
        <c:axId val="33942144"/>
        <c:scaling>
          <c:orientation val="minMax"/>
          <c:min val="3500"/>
        </c:scaling>
        <c:axPos val="l"/>
        <c:title>
          <c:tx>
            <c:rich>
              <a:bodyPr rot="-5400000" spcFirstLastPara="0" vertOverflow="ellipsis" vert="horz" wrap="square" anchor="ctr" anchorCtr="1"/>
              <a:lstStyle/>
              <a:p>
                <a:pPr defTabSz="914400">
                  <a:defRPr lang="zh-CN" sz="900" b="0" i="0" u="none" strike="noStrike" kern="1200" baseline="0">
                    <a:solidFill>
                      <a:srgbClr val="000000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</a:defRPr>
                </a:pPr>
                <a:r>
                  <a:t>Radical scavenging activity (μ</a:t>
                </a:r>
                <a:r>
                  <a:rPr lang="en-US" altLang="zh-CN"/>
                  <a:t>M TE/L)</a:t>
                </a:r>
                <a:endParaRPr lang="en-US" altLang="zh-CN" sz="900" b="0" i="0" u="none" strike="noStrike" baseline="0">
                  <a:solidFill>
                    <a:srgbClr val="000000"/>
                  </a:solidFill>
                  <a:latin typeface="Times New Roman" panose="02020603050405020304" charset="0"/>
                  <a:ea typeface="Times New Roman" panose="02020603050405020304" charset="0"/>
                  <a:cs typeface="Times New Roman" panose="02020603050405020304" charset="0"/>
                </a:endParaRPr>
              </a:p>
            </c:rich>
          </c:tx>
          <c:layout>
            <c:manualLayout>
              <c:xMode val="edge"/>
              <c:yMode val="edge"/>
              <c:x val="2.9062727052555106E-2"/>
              <c:y val="7.6903358113304312E-3"/>
            </c:manualLayout>
          </c:layout>
        </c:title>
        <c:numFmt formatCode="General" sourceLinked="1"/>
        <c:majorTickMark val="in"/>
        <c:tickLblPos val="nextTo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</a:defRPr>
            </a:pPr>
            <a:endParaRPr lang="zh-CN"/>
          </a:p>
        </c:txPr>
        <c:crossAx val="33940224"/>
        <c:crosses val="autoZero"/>
        <c:crossBetween val="midCat"/>
      </c:valAx>
      <c:spPr>
        <a:solidFill>
          <a:srgbClr val="FFFFFF">
            <a:alpha val="100000"/>
          </a:srgbClr>
        </a:solidFill>
        <a:ln w="3175">
          <a:noFill/>
        </a:ln>
      </c:spPr>
    </c:plotArea>
    <c:plotVisOnly val="1"/>
    <c:dispBlanksAs val="gap"/>
  </c:chart>
  <c:spPr>
    <a:solidFill>
      <a:srgbClr val="FFFFFF"/>
    </a:solidFill>
    <a:ln w="3175" cap="flat" cmpd="sng" algn="ctr">
      <a:noFill/>
      <a:prstDash val="solid"/>
      <a:round/>
    </a:ln>
  </c:spPr>
  <c:txPr>
    <a:bodyPr rot="0" wrap="square" anchor="ctr" anchorCtr="1"/>
    <a:lstStyle/>
    <a:p>
      <a:pPr>
        <a:defRPr lang="zh-CN" sz="800" b="0" i="0" u="none" strike="noStrike" baseline="0">
          <a:solidFill>
            <a:srgbClr val="000000"/>
          </a:solidFill>
          <a:latin typeface="宋体" panose="02010600030101010101" charset="-122"/>
          <a:ea typeface="宋体" panose="02010600030101010101" charset="-122"/>
          <a:cs typeface="宋体" panose="02010600030101010101" charset="-122"/>
        </a:defRPr>
      </a:pPr>
      <a:endParaRPr lang="zh-CN"/>
    </a:p>
  </c:txPr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dcterms:created xsi:type="dcterms:W3CDTF">2018-04-14T09:44:00Z</dcterms:created>
  <dcterms:modified xsi:type="dcterms:W3CDTF">2018-07-02T06:16:00Z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